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E95949">
      <w:pPr>
        <w:spacing w:before="128" w:line="224" w:lineRule="auto"/>
        <w:ind w:left="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33"/>
          <w:sz w:val="30"/>
          <w:szCs w:val="30"/>
        </w:rPr>
        <w:t>附件1:</w:t>
      </w:r>
    </w:p>
    <w:p w14:paraId="089F8FAA">
      <w:pPr>
        <w:spacing w:before="312" w:line="219" w:lineRule="auto"/>
        <w:ind w:left="2086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"/>
          <w:sz w:val="43"/>
          <w:szCs w:val="43"/>
        </w:rPr>
        <w:t>科技重大专项申报指南</w:t>
      </w:r>
    </w:p>
    <w:p w14:paraId="3770983D">
      <w:pPr>
        <w:spacing w:line="277" w:lineRule="auto"/>
        <w:rPr>
          <w:rFonts w:ascii="Arial"/>
          <w:sz w:val="21"/>
        </w:rPr>
      </w:pPr>
    </w:p>
    <w:p w14:paraId="5533E9D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4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spacing w:val="-7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pacing w:val="4"/>
          <w:sz w:val="32"/>
          <w:szCs w:val="32"/>
        </w:rPr>
        <w:t>、重大技术类专项支持范围：</w:t>
      </w:r>
    </w:p>
    <w:p w14:paraId="3876D17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769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8"/>
          <w:sz w:val="32"/>
          <w:szCs w:val="32"/>
        </w:rPr>
        <w:t>(一)节能环保。重点支持大气污染防治、水资源、绿色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技术和土地资源改善修复、能源高效利用等关键核心技术研究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与示范；支持余热余压利用、脱硫脱硝除尘、低碳、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垃圾污泥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处理等成套设备和高效环保材料的开发。</w:t>
      </w:r>
    </w:p>
    <w:p w14:paraId="49E837A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769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9"/>
          <w:sz w:val="32"/>
          <w:szCs w:val="32"/>
        </w:rPr>
        <w:t>(二)装备制造。重点支持工业机器人、基础零部件精密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制造、工业母机及数控智能装备、节能环保设备、汽车制造和零部件、通用航空装备及零部件、轨道交通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器材、康复医疗装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备等先进装备制造业。</w:t>
      </w:r>
    </w:p>
    <w:p w14:paraId="4D70984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728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2"/>
          <w:sz w:val="32"/>
          <w:szCs w:val="32"/>
        </w:rPr>
        <w:t>(三)传统产业升级改造。钢铁、煤化工、精细化工、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新型建材、食品加工、纺织服装等重点工业领域的产业升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级、重大科技成果应用推广项目。</w:t>
      </w:r>
    </w:p>
    <w:p w14:paraId="0A0CDFF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769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0"/>
          <w:sz w:val="32"/>
          <w:szCs w:val="32"/>
        </w:rPr>
        <w:t>(四)新一代信息技术。重点发展电子基础材料、电子元</w:t>
      </w:r>
      <w:r>
        <w:rPr>
          <w:rFonts w:hint="eastAsia" w:ascii="仿宋_GB2312" w:hAnsi="仿宋_GB2312" w:eastAsia="仿宋_GB2312" w:cs="仿宋_GB2312"/>
          <w:spacing w:val="17"/>
          <w:sz w:val="32"/>
          <w:szCs w:val="32"/>
        </w:rPr>
        <w:t>器件、高端电子玻璃、5G应用及关键技术、5G与云计算</w:t>
      </w:r>
      <w:r>
        <w:rPr>
          <w:rFonts w:hint="eastAsia" w:ascii="仿宋_GB2312" w:hAnsi="仿宋_GB2312" w:eastAsia="仿宋_GB2312" w:cs="仿宋_GB2312"/>
          <w:spacing w:val="16"/>
          <w:sz w:val="32"/>
          <w:szCs w:val="32"/>
        </w:rPr>
        <w:t>、大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数据、物联网、人工智能、智能传感、机器通信等技术融合；基于5G网络的智能制造、工业互联网、车联网等行业应用新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型显示器件、光存储系列等产业。</w:t>
      </w:r>
    </w:p>
    <w:p w14:paraId="511C81F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821" w:firstLineChars="227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1"/>
          <w:sz w:val="32"/>
          <w:szCs w:val="32"/>
        </w:rPr>
        <w:t>(五)新材料。以高性能、轻量化、绿色化为方向，重点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开展新型合金材料和新型功能材料关键技术研发，推动向高性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能材料制品、高端装备零部件延伸发展；支持高品质超硬材料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及制品开发，提升其精深加工水平。</w:t>
      </w:r>
    </w:p>
    <w:p w14:paraId="09924FB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jc w:val="right"/>
        <w:textAlignment w:val="baseline"/>
        <w:rPr>
          <w:rFonts w:hint="eastAsia" w:ascii="仿宋_GB2312" w:hAnsi="仿宋_GB2312" w:eastAsia="仿宋_GB2312" w:cs="仿宋_GB2312"/>
          <w:spacing w:val="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(六)新能源、生物医药等战略新兴产业领域的重大项</w:t>
      </w:r>
    </w:p>
    <w:p w14:paraId="645D86E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目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  <w:t>。</w:t>
      </w:r>
    </w:p>
    <w:p w14:paraId="2DA2452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firstLine="716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9"/>
          <w:sz w:val="32"/>
          <w:szCs w:val="32"/>
        </w:rPr>
        <w:t>(七)农业资源保护和高效利用、生物育种、生态环境修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复等共性关键技术和新型农业机械装备、农业信息化、食品专</w:t>
      </w:r>
      <w:r>
        <w:rPr>
          <w:rFonts w:hint="eastAsia" w:ascii="仿宋_GB2312" w:hAnsi="仿宋_GB2312" w:eastAsia="仿宋_GB2312" w:cs="仿宋_GB2312"/>
          <w:spacing w:val="18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用智能装备、食品安全快速检测技术及设备、生物农药等关键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技术研发。</w:t>
      </w:r>
    </w:p>
    <w:p w14:paraId="064EBDB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799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8"/>
          <w:sz w:val="32"/>
          <w:szCs w:val="32"/>
        </w:rPr>
        <w:t>(八)针对重大疾病的化学药、中药、生物技术药物新产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品及新兽药、新型医疗设备、康复医疗等关键技术研发。</w:t>
      </w:r>
    </w:p>
    <w:p w14:paraId="4263DF0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83" w:firstLineChars="200"/>
        <w:textAlignment w:val="baseline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0"/>
          <w:sz w:val="32"/>
          <w:szCs w:val="32"/>
        </w:rPr>
        <w:t>二、重大公益类专项支持范围</w:t>
      </w:r>
    </w:p>
    <w:p w14:paraId="4B34BAF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704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6"/>
          <w:sz w:val="32"/>
          <w:szCs w:val="32"/>
        </w:rPr>
        <w:t>解决制约公益性行业发展的重大科技问题和市场机制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不能有效配置资源领域中的共性技术问题为主，突出服务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于国家安全、消防安全、应急处理、康复医疗、近视防控、社会发展、脱贫攻坚、乡村振兴、园林绿化、林果选育推广、绿色技术、农业污染和人民生活质量提高以及环境改善等公共利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益。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4D066C">
    <w:pPr>
      <w:spacing w:line="234" w:lineRule="auto"/>
      <w:ind w:left="7350"/>
      <w:rPr>
        <w:rFonts w:ascii="宋体" w:hAnsi="宋体" w:eastAsia="宋体" w:cs="宋体"/>
        <w:sz w:val="35"/>
        <w:szCs w:val="35"/>
      </w:rPr>
    </w:pPr>
    <w:r>
      <w:rPr>
        <w:rFonts w:ascii="宋体" w:hAnsi="宋体" w:eastAsia="宋体" w:cs="宋体"/>
        <w:spacing w:val="-3"/>
        <w:sz w:val="35"/>
        <w:szCs w:val="35"/>
      </w:rPr>
      <w:t>—13—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4A4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